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D910" w14:textId="77777777" w:rsidR="003F2C59" w:rsidRPr="003F2C59" w:rsidRDefault="003F2C59" w:rsidP="00F05652">
      <w:r w:rsidRPr="003F2C59">
        <w:rPr>
          <w:b/>
          <w:bCs/>
          <w:rtl/>
        </w:rPr>
        <w:t>عقد تأجير معدات ثقيلة</w:t>
      </w:r>
    </w:p>
    <w:p w14:paraId="67E52057" w14:textId="77777777" w:rsidR="003F2C59" w:rsidRPr="003F2C59" w:rsidRDefault="003F2C59" w:rsidP="00F05652">
      <w:r w:rsidRPr="003F2C59">
        <w:rPr>
          <w:rtl/>
        </w:rPr>
        <w:t xml:space="preserve">هذا العقد ساري المفعول من تاريخ بدء العمل بالمعدة في المشروع، ويمتد لمدة </w:t>
      </w:r>
      <w:r w:rsidRPr="003F2C59">
        <w:rPr>
          <w:b/>
          <w:bCs/>
          <w:rtl/>
        </w:rPr>
        <w:t>ثلاثة أشهر</w:t>
      </w:r>
      <w:r w:rsidRPr="003F2C59">
        <w:rPr>
          <w:rtl/>
        </w:rPr>
        <w:t xml:space="preserve"> بين كل من</w:t>
      </w:r>
      <w:r w:rsidRPr="003F2C59">
        <w:t>:</w:t>
      </w:r>
    </w:p>
    <w:p w14:paraId="5C16882A" w14:textId="77777777" w:rsidR="003F2C59" w:rsidRPr="003F2C59" w:rsidRDefault="003F2C59" w:rsidP="00F05652">
      <w:pPr>
        <w:numPr>
          <w:ilvl w:val="0"/>
          <w:numId w:val="1"/>
        </w:numPr>
      </w:pPr>
      <w:r w:rsidRPr="003F2C59">
        <w:rPr>
          <w:b/>
          <w:bCs/>
          <w:rtl/>
        </w:rPr>
        <w:t>الطرف الأول</w:t>
      </w:r>
      <w:r w:rsidRPr="003F2C59">
        <w:t xml:space="preserve">: </w:t>
      </w:r>
      <w:r w:rsidRPr="003F2C59">
        <w:rPr>
          <w:rtl/>
        </w:rPr>
        <w:t>مؤسسة (اسم المؤسسة) ويمثلها السيد (اسم الممثل)، بصفته المدير العام، والمسجلة بسجل تجاري رقم (الرقم)</w:t>
      </w:r>
      <w:r w:rsidRPr="003F2C59">
        <w:t>.</w:t>
      </w:r>
    </w:p>
    <w:p w14:paraId="677295F0" w14:textId="77777777" w:rsidR="003F2C59" w:rsidRPr="003F2C59" w:rsidRDefault="003F2C59" w:rsidP="00F05652">
      <w:pPr>
        <w:numPr>
          <w:ilvl w:val="0"/>
          <w:numId w:val="1"/>
        </w:numPr>
      </w:pPr>
      <w:r w:rsidRPr="003F2C59">
        <w:rPr>
          <w:b/>
          <w:bCs/>
          <w:rtl/>
        </w:rPr>
        <w:t>الطرف الثاني</w:t>
      </w:r>
      <w:r w:rsidRPr="003F2C59">
        <w:t xml:space="preserve">: </w:t>
      </w:r>
      <w:r w:rsidRPr="003F2C59">
        <w:rPr>
          <w:rtl/>
        </w:rPr>
        <w:t>شركة (اسم الشركة) ويمثلها السيد (اسم الممثل)، بصفته المدير التنفيذي، والمسجلة بسجل تجاري رقم (الرقم)</w:t>
      </w:r>
      <w:r w:rsidRPr="003F2C59">
        <w:t>.</w:t>
      </w:r>
    </w:p>
    <w:p w14:paraId="31EEFA7F" w14:textId="77777777" w:rsidR="003F2C59" w:rsidRDefault="003F2C59" w:rsidP="00F05652">
      <w:pPr>
        <w:rPr>
          <w:b/>
          <w:bCs/>
          <w:rtl/>
        </w:rPr>
      </w:pPr>
      <w:r w:rsidRPr="003F2C59">
        <w:rPr>
          <w:b/>
          <w:bCs/>
          <w:rtl/>
        </w:rPr>
        <w:t>تفاصيل التأجير</w:t>
      </w:r>
      <w:r w:rsidRPr="003F2C59">
        <w:rPr>
          <w:b/>
          <w:bCs/>
        </w:rPr>
        <w:t>:</w:t>
      </w:r>
    </w:p>
    <w:p w14:paraId="7896B57B" w14:textId="77777777" w:rsidR="00F05652" w:rsidRDefault="00F05652" w:rsidP="00F05652">
      <w:pPr>
        <w:rPr>
          <w:rtl/>
        </w:rPr>
      </w:pPr>
    </w:p>
    <w:tbl>
      <w:tblPr>
        <w:tblStyle w:val="aa"/>
        <w:tblpPr w:leftFromText="180" w:rightFromText="180" w:vertAnchor="text" w:tblpXSpec="right" w:tblpY="1"/>
        <w:tblOverlap w:val="never"/>
        <w:bidiVisual/>
        <w:tblW w:w="8863" w:type="dxa"/>
        <w:tblLook w:val="04A0" w:firstRow="1" w:lastRow="0" w:firstColumn="1" w:lastColumn="0" w:noHBand="0" w:noVBand="1"/>
      </w:tblPr>
      <w:tblGrid>
        <w:gridCol w:w="364"/>
        <w:gridCol w:w="1953"/>
        <w:gridCol w:w="696"/>
        <w:gridCol w:w="637"/>
        <w:gridCol w:w="1112"/>
        <w:gridCol w:w="3121"/>
        <w:gridCol w:w="980"/>
      </w:tblGrid>
      <w:tr w:rsidR="00F05652" w14:paraId="6BA02741" w14:textId="77777777" w:rsidTr="00F05652">
        <w:tc>
          <w:tcPr>
            <w:tcW w:w="364" w:type="dxa"/>
          </w:tcPr>
          <w:p w14:paraId="18625B22" w14:textId="418EBD56" w:rsidR="00F05652" w:rsidRDefault="00F05652" w:rsidP="00F05652">
            <w:pPr>
              <w:rPr>
                <w:rtl/>
              </w:rPr>
            </w:pPr>
            <w:r w:rsidRPr="003F2C59">
              <w:rPr>
                <w:b/>
                <w:bCs/>
                <w:rtl/>
              </w:rPr>
              <w:t>م</w:t>
            </w:r>
          </w:p>
        </w:tc>
        <w:tc>
          <w:tcPr>
            <w:tcW w:w="1953" w:type="dxa"/>
            <w:vAlign w:val="center"/>
          </w:tcPr>
          <w:p w14:paraId="104EDAFB" w14:textId="3FEAFDED" w:rsidR="00F05652" w:rsidRDefault="00F05652" w:rsidP="00F05652">
            <w:pPr>
              <w:rPr>
                <w:rtl/>
              </w:rPr>
            </w:pPr>
            <w:r w:rsidRPr="003F2C59">
              <w:rPr>
                <w:b/>
                <w:bCs/>
                <w:rtl/>
              </w:rPr>
              <w:t>اسم المعدة</w:t>
            </w:r>
          </w:p>
        </w:tc>
        <w:tc>
          <w:tcPr>
            <w:tcW w:w="696" w:type="dxa"/>
          </w:tcPr>
          <w:p w14:paraId="3C33886E" w14:textId="4ECEB0C1" w:rsidR="00F05652" w:rsidRDefault="00F05652" w:rsidP="00F05652">
            <w:pPr>
              <w:rPr>
                <w:rtl/>
              </w:rPr>
            </w:pPr>
            <w:r w:rsidRPr="003F2C59">
              <w:rPr>
                <w:b/>
                <w:bCs/>
                <w:rtl/>
              </w:rPr>
              <w:t>السائق</w:t>
            </w:r>
          </w:p>
        </w:tc>
        <w:tc>
          <w:tcPr>
            <w:tcW w:w="637" w:type="dxa"/>
          </w:tcPr>
          <w:p w14:paraId="2005B51C" w14:textId="1266E7FF" w:rsidR="00F05652" w:rsidRDefault="00F05652" w:rsidP="00F05652">
            <w:pPr>
              <w:rPr>
                <w:rtl/>
              </w:rPr>
            </w:pPr>
            <w:r w:rsidRPr="003F2C59">
              <w:rPr>
                <w:b/>
                <w:bCs/>
                <w:rtl/>
              </w:rPr>
              <w:t>الكمية</w:t>
            </w:r>
          </w:p>
        </w:tc>
        <w:tc>
          <w:tcPr>
            <w:tcW w:w="1112" w:type="dxa"/>
            <w:vAlign w:val="center"/>
          </w:tcPr>
          <w:p w14:paraId="1601C226" w14:textId="2A87CA65" w:rsidR="00F05652" w:rsidRDefault="00F05652" w:rsidP="00F05652">
            <w:pPr>
              <w:rPr>
                <w:rtl/>
              </w:rPr>
            </w:pPr>
            <w:r w:rsidRPr="003F2C59">
              <w:rPr>
                <w:b/>
                <w:bCs/>
                <w:rtl/>
              </w:rPr>
              <w:t>مدة الإيجار</w:t>
            </w:r>
          </w:p>
        </w:tc>
        <w:tc>
          <w:tcPr>
            <w:tcW w:w="3121" w:type="dxa"/>
            <w:vAlign w:val="center"/>
          </w:tcPr>
          <w:p w14:paraId="5C81F083" w14:textId="1CF81A1D" w:rsidR="00F05652" w:rsidRDefault="00F05652" w:rsidP="00F05652">
            <w:pPr>
              <w:rPr>
                <w:rtl/>
              </w:rPr>
            </w:pPr>
            <w:r w:rsidRPr="003F2C59">
              <w:rPr>
                <w:b/>
                <w:bCs/>
                <w:rtl/>
              </w:rPr>
              <w:t>سعر الإيجار الشهري للكوبري</w:t>
            </w:r>
          </w:p>
        </w:tc>
        <w:tc>
          <w:tcPr>
            <w:tcW w:w="980" w:type="dxa"/>
          </w:tcPr>
          <w:p w14:paraId="7FF4C114" w14:textId="7BE61DE1" w:rsidR="00F05652" w:rsidRDefault="00F05652" w:rsidP="00F05652">
            <w:pPr>
              <w:rPr>
                <w:rtl/>
              </w:rPr>
            </w:pPr>
            <w:r w:rsidRPr="003F2C59">
              <w:rPr>
                <w:b/>
                <w:bCs/>
                <w:rtl/>
              </w:rPr>
              <w:t>ملاحظات</w:t>
            </w:r>
          </w:p>
        </w:tc>
      </w:tr>
      <w:tr w:rsidR="00F05652" w14:paraId="6645DEC3" w14:textId="77777777" w:rsidTr="00F05652">
        <w:tc>
          <w:tcPr>
            <w:tcW w:w="364" w:type="dxa"/>
          </w:tcPr>
          <w:p w14:paraId="7A0EE6B7" w14:textId="632063B3" w:rsidR="00F05652" w:rsidRDefault="00F05652" w:rsidP="00F05652">
            <w:pPr>
              <w:rPr>
                <w:rtl/>
              </w:rPr>
            </w:pPr>
            <w:r>
              <w:rPr>
                <w:rFonts w:hint="cs"/>
                <w:rtl/>
              </w:rPr>
              <w:t>1</w:t>
            </w:r>
          </w:p>
        </w:tc>
        <w:tc>
          <w:tcPr>
            <w:tcW w:w="1953" w:type="dxa"/>
            <w:vAlign w:val="center"/>
          </w:tcPr>
          <w:p w14:paraId="28B5EF4C" w14:textId="580F28C6" w:rsidR="00F05652" w:rsidRDefault="00F05652" w:rsidP="00F05652">
            <w:pPr>
              <w:rPr>
                <w:rtl/>
              </w:rPr>
            </w:pPr>
            <w:r w:rsidRPr="003F2C59">
              <w:rPr>
                <w:rtl/>
              </w:rPr>
              <w:t>كرين 180 طن جنزير</w:t>
            </w:r>
          </w:p>
        </w:tc>
        <w:tc>
          <w:tcPr>
            <w:tcW w:w="696" w:type="dxa"/>
          </w:tcPr>
          <w:p w14:paraId="66A9F0FA" w14:textId="7F7BC1CF" w:rsidR="00F05652" w:rsidRDefault="00F05652" w:rsidP="00F05652">
            <w:pPr>
              <w:rPr>
                <w:rtl/>
              </w:rPr>
            </w:pPr>
            <w:r w:rsidRPr="003F2C59">
              <w:rPr>
                <w:rtl/>
              </w:rPr>
              <w:t>نعم</w:t>
            </w:r>
          </w:p>
        </w:tc>
        <w:tc>
          <w:tcPr>
            <w:tcW w:w="637" w:type="dxa"/>
          </w:tcPr>
          <w:p w14:paraId="208E93C5" w14:textId="708A84F9" w:rsidR="00F05652" w:rsidRDefault="00F05652" w:rsidP="00F05652">
            <w:pPr>
              <w:rPr>
                <w:rFonts w:hint="cs"/>
                <w:rtl/>
              </w:rPr>
            </w:pPr>
            <w:r w:rsidRPr="003F2C59">
              <w:t>1</w:t>
            </w:r>
          </w:p>
        </w:tc>
        <w:tc>
          <w:tcPr>
            <w:tcW w:w="1112" w:type="dxa"/>
          </w:tcPr>
          <w:p w14:paraId="18C7A417" w14:textId="73A4B968" w:rsidR="00F05652" w:rsidRDefault="00F05652" w:rsidP="00F05652">
            <w:pPr>
              <w:rPr>
                <w:rtl/>
              </w:rPr>
            </w:pPr>
            <w:r w:rsidRPr="003F2C59">
              <w:rPr>
                <w:rtl/>
              </w:rPr>
              <w:t>شهري</w:t>
            </w:r>
          </w:p>
        </w:tc>
        <w:tc>
          <w:tcPr>
            <w:tcW w:w="3121" w:type="dxa"/>
            <w:vAlign w:val="center"/>
          </w:tcPr>
          <w:p w14:paraId="3DEED0AF" w14:textId="106ADA30" w:rsidR="00F05652" w:rsidRDefault="00F05652" w:rsidP="00F05652">
            <w:pPr>
              <w:rPr>
                <w:rtl/>
              </w:rPr>
            </w:pPr>
            <w:r w:rsidRPr="003F2C59">
              <w:t xml:space="preserve">100,000 </w:t>
            </w:r>
            <w:r w:rsidRPr="003F2C59">
              <w:rPr>
                <w:rtl/>
              </w:rPr>
              <w:t>ريال (غير شامل الضريبة)</w:t>
            </w:r>
          </w:p>
        </w:tc>
        <w:tc>
          <w:tcPr>
            <w:tcW w:w="980" w:type="dxa"/>
          </w:tcPr>
          <w:p w14:paraId="0DC8AA9C" w14:textId="77777777" w:rsidR="00F05652" w:rsidRDefault="00F05652" w:rsidP="00F05652">
            <w:pPr>
              <w:rPr>
                <w:rtl/>
              </w:rPr>
            </w:pPr>
          </w:p>
        </w:tc>
      </w:tr>
      <w:tr w:rsidR="00F05652" w14:paraId="478977A1" w14:textId="77777777" w:rsidTr="00F05652">
        <w:tc>
          <w:tcPr>
            <w:tcW w:w="364" w:type="dxa"/>
          </w:tcPr>
          <w:p w14:paraId="47C50003" w14:textId="7FBF25F7" w:rsidR="00F05652" w:rsidRDefault="00F05652" w:rsidP="00F05652">
            <w:pPr>
              <w:rPr>
                <w:rtl/>
              </w:rPr>
            </w:pPr>
            <w:r>
              <w:rPr>
                <w:rFonts w:hint="cs"/>
                <w:rtl/>
              </w:rPr>
              <w:t>2</w:t>
            </w:r>
          </w:p>
        </w:tc>
        <w:tc>
          <w:tcPr>
            <w:tcW w:w="1953" w:type="dxa"/>
            <w:vAlign w:val="center"/>
          </w:tcPr>
          <w:p w14:paraId="6B9E3C25" w14:textId="054451DE" w:rsidR="00F05652" w:rsidRDefault="00F05652" w:rsidP="00F05652">
            <w:pPr>
              <w:rPr>
                <w:rtl/>
              </w:rPr>
            </w:pPr>
            <w:r w:rsidRPr="003F2C59">
              <w:rPr>
                <w:rtl/>
              </w:rPr>
              <w:t>رسوم النقل للكرين ذهابًا</w:t>
            </w:r>
          </w:p>
        </w:tc>
        <w:tc>
          <w:tcPr>
            <w:tcW w:w="696" w:type="dxa"/>
          </w:tcPr>
          <w:p w14:paraId="3076351A" w14:textId="7F6F635C" w:rsidR="00F05652" w:rsidRDefault="00F05652" w:rsidP="00F05652">
            <w:pPr>
              <w:rPr>
                <w:rFonts w:hint="cs"/>
                <w:rtl/>
              </w:rPr>
            </w:pPr>
            <w:r w:rsidRPr="003F2C59">
              <w:t>-</w:t>
            </w:r>
          </w:p>
        </w:tc>
        <w:tc>
          <w:tcPr>
            <w:tcW w:w="637" w:type="dxa"/>
          </w:tcPr>
          <w:p w14:paraId="41E00262" w14:textId="173F5E05" w:rsidR="00F05652" w:rsidRDefault="00F05652" w:rsidP="00F05652">
            <w:pPr>
              <w:rPr>
                <w:rFonts w:hint="cs"/>
                <w:rtl/>
              </w:rPr>
            </w:pPr>
            <w:r w:rsidRPr="003F2C59">
              <w:t>-</w:t>
            </w:r>
          </w:p>
        </w:tc>
        <w:tc>
          <w:tcPr>
            <w:tcW w:w="1112" w:type="dxa"/>
            <w:vAlign w:val="center"/>
          </w:tcPr>
          <w:p w14:paraId="49C83E92" w14:textId="686B2612" w:rsidR="00F05652" w:rsidRDefault="00F05652" w:rsidP="00F05652">
            <w:pPr>
              <w:rPr>
                <w:rtl/>
              </w:rPr>
            </w:pPr>
            <w:r w:rsidRPr="003F2C59">
              <w:t>-</w:t>
            </w:r>
          </w:p>
        </w:tc>
        <w:tc>
          <w:tcPr>
            <w:tcW w:w="3121" w:type="dxa"/>
            <w:vAlign w:val="center"/>
          </w:tcPr>
          <w:p w14:paraId="22154022" w14:textId="73CC708F" w:rsidR="00F05652" w:rsidRDefault="00F05652" w:rsidP="00F05652">
            <w:pPr>
              <w:rPr>
                <w:rtl/>
              </w:rPr>
            </w:pPr>
            <w:r w:rsidRPr="003F2C59">
              <w:t xml:space="preserve">40,000 </w:t>
            </w:r>
            <w:r w:rsidRPr="003F2C59">
              <w:rPr>
                <w:rtl/>
              </w:rPr>
              <w:t>ريال (غير شامل الضريبة)</w:t>
            </w:r>
          </w:p>
        </w:tc>
        <w:tc>
          <w:tcPr>
            <w:tcW w:w="980" w:type="dxa"/>
          </w:tcPr>
          <w:p w14:paraId="244A0AB5" w14:textId="77777777" w:rsidR="00F05652" w:rsidRDefault="00F05652" w:rsidP="00F05652">
            <w:pPr>
              <w:rPr>
                <w:rtl/>
              </w:rPr>
            </w:pPr>
          </w:p>
        </w:tc>
      </w:tr>
    </w:tbl>
    <w:p w14:paraId="651A4067" w14:textId="77777777" w:rsidR="00F05652" w:rsidRDefault="00F05652" w:rsidP="00F05652">
      <w:pPr>
        <w:rPr>
          <w:rtl/>
        </w:rPr>
      </w:pPr>
      <w:r>
        <w:rPr>
          <w:rtl/>
        </w:rPr>
        <w:br w:type="textWrapping" w:clear="all"/>
      </w:r>
    </w:p>
    <w:p w14:paraId="5DCD7243" w14:textId="2CE194E8" w:rsidR="003F2C59" w:rsidRPr="003F2C59" w:rsidRDefault="003F2C59" w:rsidP="00F05652">
      <w:r w:rsidRPr="003F2C59">
        <w:rPr>
          <w:rtl/>
        </w:rPr>
        <w:t xml:space="preserve">حيث يقوم </w:t>
      </w:r>
      <w:r w:rsidRPr="003F2C59">
        <w:rPr>
          <w:b/>
          <w:bCs/>
          <w:rtl/>
        </w:rPr>
        <w:t>الطرف الأول (المؤجر)</w:t>
      </w:r>
      <w:r w:rsidRPr="003F2C59">
        <w:rPr>
          <w:rtl/>
        </w:rPr>
        <w:t xml:space="preserve"> بتأجير معدات ثقيلة من نوع </w:t>
      </w:r>
      <w:r w:rsidRPr="003F2C59">
        <w:rPr>
          <w:b/>
          <w:bCs/>
          <w:rtl/>
        </w:rPr>
        <w:t>كرين 180 طن جنزير</w:t>
      </w:r>
      <w:r w:rsidRPr="003F2C59">
        <w:rPr>
          <w:rtl/>
        </w:rPr>
        <w:t xml:space="preserve"> للطرف الثاني (المستأجر) بنظام الإيجار الشهري وفق الشروط التالية</w:t>
      </w:r>
      <w:r w:rsidRPr="003F2C59">
        <w:t>:</w:t>
      </w:r>
    </w:p>
    <w:p w14:paraId="2DA56EED" w14:textId="77777777" w:rsidR="003F2C59" w:rsidRPr="003F2C59" w:rsidRDefault="003F2C59" w:rsidP="00F05652">
      <w:pPr>
        <w:rPr>
          <w:b/>
          <w:bCs/>
        </w:rPr>
      </w:pPr>
      <w:r w:rsidRPr="003F2C59">
        <w:rPr>
          <w:b/>
          <w:bCs/>
          <w:rtl/>
        </w:rPr>
        <w:t>المادة (1): شروط الإيجار</w:t>
      </w:r>
    </w:p>
    <w:p w14:paraId="3E9D33DE" w14:textId="77777777" w:rsidR="003F2C59" w:rsidRPr="003F2C59" w:rsidRDefault="003F2C59" w:rsidP="00F05652">
      <w:pPr>
        <w:numPr>
          <w:ilvl w:val="0"/>
          <w:numId w:val="2"/>
        </w:numPr>
      </w:pPr>
      <w:r w:rsidRPr="003F2C59">
        <w:rPr>
          <w:rtl/>
        </w:rPr>
        <w:t xml:space="preserve">يلتزم الطرف الأول بتوفير عدد </w:t>
      </w:r>
      <w:r w:rsidRPr="003F2C59">
        <w:rPr>
          <w:b/>
          <w:bCs/>
        </w:rPr>
        <w:t xml:space="preserve">(1) </w:t>
      </w:r>
      <w:r w:rsidRPr="003F2C59">
        <w:rPr>
          <w:b/>
          <w:bCs/>
          <w:rtl/>
        </w:rPr>
        <w:t>كرين 180 طن جنزير</w:t>
      </w:r>
      <w:r w:rsidRPr="003F2C59">
        <w:rPr>
          <w:rtl/>
        </w:rPr>
        <w:t xml:space="preserve"> للطرف الثاني وفقًا لما يلي</w:t>
      </w:r>
      <w:r w:rsidRPr="003F2C59">
        <w:t xml:space="preserve">: </w:t>
      </w:r>
    </w:p>
    <w:p w14:paraId="2FDBA736" w14:textId="77777777" w:rsidR="003F2C59" w:rsidRPr="003F2C59" w:rsidRDefault="003F2C59" w:rsidP="00F05652">
      <w:pPr>
        <w:numPr>
          <w:ilvl w:val="1"/>
          <w:numId w:val="2"/>
        </w:numPr>
      </w:pPr>
      <w:r w:rsidRPr="003F2C59">
        <w:rPr>
          <w:b/>
          <w:bCs/>
          <w:rtl/>
        </w:rPr>
        <w:t>رسوم الإيجار الشهري</w:t>
      </w:r>
      <w:r w:rsidRPr="003F2C59">
        <w:rPr>
          <w:b/>
          <w:bCs/>
        </w:rPr>
        <w:t>:</w:t>
      </w:r>
      <w:r w:rsidRPr="003F2C59">
        <w:t xml:space="preserve"> 100,000 </w:t>
      </w:r>
      <w:r w:rsidRPr="003F2C59">
        <w:rPr>
          <w:rtl/>
        </w:rPr>
        <w:t>ريال سعودي (غير شامل ضريبة القيمة المضافة وغير شامل تكاليف النقل)</w:t>
      </w:r>
      <w:r w:rsidRPr="003F2C59">
        <w:t>.</w:t>
      </w:r>
    </w:p>
    <w:p w14:paraId="18AA9B1C" w14:textId="77777777" w:rsidR="003F2C59" w:rsidRPr="003F2C59" w:rsidRDefault="003F2C59" w:rsidP="00F05652">
      <w:pPr>
        <w:numPr>
          <w:ilvl w:val="1"/>
          <w:numId w:val="2"/>
        </w:numPr>
      </w:pPr>
      <w:r w:rsidRPr="003F2C59">
        <w:rPr>
          <w:b/>
          <w:bCs/>
          <w:rtl/>
        </w:rPr>
        <w:t>رسوم النقل</w:t>
      </w:r>
      <w:r w:rsidRPr="003F2C59">
        <w:rPr>
          <w:b/>
          <w:bCs/>
        </w:rPr>
        <w:t>:</w:t>
      </w:r>
      <w:r w:rsidRPr="003F2C59">
        <w:t xml:space="preserve"> </w:t>
      </w:r>
      <w:r w:rsidRPr="003F2C59">
        <w:rPr>
          <w:rtl/>
        </w:rPr>
        <w:t xml:space="preserve">يتحمل الطرف الثاني مبلغ </w:t>
      </w:r>
      <w:r w:rsidRPr="003F2C59">
        <w:rPr>
          <w:b/>
          <w:bCs/>
        </w:rPr>
        <w:t xml:space="preserve">40,000 </w:t>
      </w:r>
      <w:r w:rsidRPr="003F2C59">
        <w:rPr>
          <w:b/>
          <w:bCs/>
          <w:rtl/>
        </w:rPr>
        <w:t>ريال سعودي</w:t>
      </w:r>
      <w:r w:rsidRPr="003F2C59">
        <w:rPr>
          <w:rtl/>
        </w:rPr>
        <w:t xml:space="preserve"> (غير شامل الضريبة) لتغطية رسوم نقل المعدة إلى موقع العمل ذهابًا</w:t>
      </w:r>
      <w:r w:rsidRPr="003F2C59">
        <w:t>.</w:t>
      </w:r>
    </w:p>
    <w:p w14:paraId="640D4880" w14:textId="77777777" w:rsidR="003F2C59" w:rsidRPr="003F2C59" w:rsidRDefault="003F2C59" w:rsidP="00F05652">
      <w:pPr>
        <w:numPr>
          <w:ilvl w:val="0"/>
          <w:numId w:val="2"/>
        </w:numPr>
      </w:pPr>
      <w:r w:rsidRPr="003F2C59">
        <w:rPr>
          <w:rtl/>
        </w:rPr>
        <w:t xml:space="preserve">مدة العقد </w:t>
      </w:r>
      <w:r w:rsidRPr="003F2C59">
        <w:rPr>
          <w:b/>
          <w:bCs/>
          <w:rtl/>
        </w:rPr>
        <w:t>ثلاثة أشهر</w:t>
      </w:r>
      <w:r w:rsidRPr="003F2C59">
        <w:rPr>
          <w:rtl/>
        </w:rPr>
        <w:t>، وفي حال عدم اكتمال المدة يلتزم الطرف الثاني بتغطية تكاليف عودة المعدة</w:t>
      </w:r>
      <w:r w:rsidRPr="003F2C59">
        <w:t>.</w:t>
      </w:r>
    </w:p>
    <w:p w14:paraId="6CA353B4" w14:textId="77777777" w:rsidR="003F2C59" w:rsidRPr="003F2C59" w:rsidRDefault="003F2C59" w:rsidP="00F05652">
      <w:pPr>
        <w:numPr>
          <w:ilvl w:val="0"/>
          <w:numId w:val="2"/>
        </w:numPr>
      </w:pPr>
      <w:r w:rsidRPr="003F2C59">
        <w:rPr>
          <w:rtl/>
        </w:rPr>
        <w:t xml:space="preserve">اتفق الطرفان على أن نظام الإيجار الشهري يكون </w:t>
      </w:r>
      <w:r w:rsidRPr="003F2C59">
        <w:rPr>
          <w:b/>
          <w:bCs/>
        </w:rPr>
        <w:t xml:space="preserve">10 </w:t>
      </w:r>
      <w:r w:rsidRPr="003F2C59">
        <w:rPr>
          <w:b/>
          <w:bCs/>
          <w:rtl/>
        </w:rPr>
        <w:t>ساعات يوميًا، من الأحد إلى الخميس، ويوم الجمعة إجازة</w:t>
      </w:r>
      <w:r w:rsidRPr="003F2C59">
        <w:t xml:space="preserve">. </w:t>
      </w:r>
    </w:p>
    <w:p w14:paraId="50CF0E3C" w14:textId="77777777" w:rsidR="003F2C59" w:rsidRPr="003F2C59" w:rsidRDefault="003F2C59" w:rsidP="00F05652">
      <w:pPr>
        <w:numPr>
          <w:ilvl w:val="1"/>
          <w:numId w:val="2"/>
        </w:numPr>
      </w:pPr>
      <w:r w:rsidRPr="003F2C59">
        <w:rPr>
          <w:rtl/>
        </w:rPr>
        <w:t>في حال عمل المعدة لساعات إضافية، يتم احتسابها وفقًا لعدد الساعات الفعلية</w:t>
      </w:r>
      <w:r w:rsidRPr="003F2C59">
        <w:t>.</w:t>
      </w:r>
    </w:p>
    <w:p w14:paraId="3261F8BA" w14:textId="77777777" w:rsidR="003F2C59" w:rsidRPr="003F2C59" w:rsidRDefault="003F2C59" w:rsidP="00F05652">
      <w:pPr>
        <w:numPr>
          <w:ilvl w:val="1"/>
          <w:numId w:val="2"/>
        </w:numPr>
      </w:pPr>
      <w:r w:rsidRPr="003F2C59">
        <w:rPr>
          <w:rtl/>
        </w:rPr>
        <w:t>لا يتم احتساب ساعات التحضير أو حركة الدوام ضمن ساعات العمل</w:t>
      </w:r>
      <w:r w:rsidRPr="003F2C59">
        <w:t>.</w:t>
      </w:r>
    </w:p>
    <w:p w14:paraId="738FC4BE" w14:textId="77777777" w:rsidR="003F2C59" w:rsidRPr="003F2C59" w:rsidRDefault="003F2C59" w:rsidP="00F05652">
      <w:pPr>
        <w:numPr>
          <w:ilvl w:val="1"/>
          <w:numId w:val="2"/>
        </w:numPr>
      </w:pPr>
      <w:r w:rsidRPr="003F2C59">
        <w:rPr>
          <w:rtl/>
        </w:rPr>
        <w:t>في حال وجود أعطال في المعدة أو غياب السائق، يتم خصم قيمة الساعات الفعلية غير المستغلة</w:t>
      </w:r>
      <w:r w:rsidRPr="003F2C59">
        <w:t>.</w:t>
      </w:r>
    </w:p>
    <w:p w14:paraId="3AA505B4" w14:textId="77777777" w:rsidR="00CD57B6" w:rsidRDefault="00CD57B6" w:rsidP="00F05652">
      <w:pPr>
        <w:rPr>
          <w:rtl/>
        </w:rPr>
      </w:pPr>
    </w:p>
    <w:p w14:paraId="244952E2" w14:textId="77777777" w:rsidR="003F2C59" w:rsidRDefault="003F2C59" w:rsidP="00F05652">
      <w:pPr>
        <w:rPr>
          <w:rtl/>
        </w:rPr>
      </w:pPr>
    </w:p>
    <w:p w14:paraId="61AEEA10" w14:textId="77777777" w:rsidR="003F2C59" w:rsidRPr="003F2C59" w:rsidRDefault="003F2C59" w:rsidP="00F05652">
      <w:pPr>
        <w:rPr>
          <w:b/>
          <w:bCs/>
        </w:rPr>
      </w:pPr>
      <w:r w:rsidRPr="003F2C59">
        <w:rPr>
          <w:b/>
          <w:bCs/>
          <w:rtl/>
        </w:rPr>
        <w:t>المادة (2): الدفعات المالية</w:t>
      </w:r>
    </w:p>
    <w:p w14:paraId="0E564A32" w14:textId="77777777" w:rsidR="003F2C59" w:rsidRPr="003F2C59" w:rsidRDefault="003F2C59" w:rsidP="00F05652">
      <w:pPr>
        <w:numPr>
          <w:ilvl w:val="0"/>
          <w:numId w:val="3"/>
        </w:numPr>
      </w:pPr>
      <w:r w:rsidRPr="003F2C59">
        <w:rPr>
          <w:rtl/>
        </w:rPr>
        <w:t xml:space="preserve">يلتزم الطرف الثاني (المستأجر) بدفع </w:t>
      </w:r>
      <w:r w:rsidRPr="003F2C59">
        <w:rPr>
          <w:b/>
          <w:bCs/>
        </w:rPr>
        <w:t xml:space="preserve">100٪ </w:t>
      </w:r>
      <w:r w:rsidRPr="003F2C59">
        <w:rPr>
          <w:b/>
          <w:bCs/>
          <w:rtl/>
        </w:rPr>
        <w:t>من رسوم نقل الكرين</w:t>
      </w:r>
      <w:r w:rsidRPr="003F2C59">
        <w:rPr>
          <w:rtl/>
        </w:rPr>
        <w:t xml:space="preserve"> قبل بدء تشغيله في المشروع</w:t>
      </w:r>
      <w:r w:rsidRPr="003F2C59">
        <w:t>.</w:t>
      </w:r>
    </w:p>
    <w:p w14:paraId="1F692699" w14:textId="77777777" w:rsidR="003F2C59" w:rsidRPr="003F2C59" w:rsidRDefault="003F2C59" w:rsidP="00F05652">
      <w:pPr>
        <w:numPr>
          <w:ilvl w:val="0"/>
          <w:numId w:val="3"/>
        </w:numPr>
      </w:pPr>
      <w:r w:rsidRPr="003F2C59">
        <w:rPr>
          <w:rtl/>
        </w:rPr>
        <w:t xml:space="preserve">يتم دفع </w:t>
      </w:r>
      <w:r w:rsidRPr="003F2C59">
        <w:rPr>
          <w:b/>
          <w:bCs/>
        </w:rPr>
        <w:t xml:space="preserve">100٪ </w:t>
      </w:r>
      <w:r w:rsidRPr="003F2C59">
        <w:rPr>
          <w:b/>
          <w:bCs/>
          <w:rtl/>
        </w:rPr>
        <w:t>من قيمة الإيجار الشهري</w:t>
      </w:r>
      <w:r w:rsidRPr="003F2C59">
        <w:rPr>
          <w:rtl/>
        </w:rPr>
        <w:t xml:space="preserve"> بعد انتهاء كل شهر واستلام الفاتورة، على أن يتم السداد عبر التحويل البنكي إلى حساب مؤسسة (اسم المؤسسة) لدى </w:t>
      </w:r>
      <w:r w:rsidRPr="003F2C59">
        <w:rPr>
          <w:b/>
          <w:bCs/>
          <w:rtl/>
        </w:rPr>
        <w:t>البنك الأهلي</w:t>
      </w:r>
      <w:r w:rsidRPr="003F2C59">
        <w:rPr>
          <w:rtl/>
        </w:rPr>
        <w:t xml:space="preserve"> </w:t>
      </w:r>
      <w:r w:rsidRPr="003F2C59">
        <w:t xml:space="preserve">– </w:t>
      </w:r>
      <w:r w:rsidRPr="003F2C59">
        <w:rPr>
          <w:rtl/>
        </w:rPr>
        <w:t>رقم الحساب</w:t>
      </w:r>
      <w:r w:rsidRPr="003F2C59">
        <w:t xml:space="preserve"> (IBAN: ************).</w:t>
      </w:r>
    </w:p>
    <w:p w14:paraId="1FFA8B88" w14:textId="77777777" w:rsidR="003F2C59" w:rsidRPr="003F2C59" w:rsidRDefault="003F2C59" w:rsidP="00F05652">
      <w:pPr>
        <w:rPr>
          <w:b/>
          <w:bCs/>
        </w:rPr>
      </w:pPr>
      <w:r w:rsidRPr="003F2C59">
        <w:rPr>
          <w:b/>
          <w:bCs/>
          <w:rtl/>
        </w:rPr>
        <w:t>المادة (3): شروط التشغيل والعمل</w:t>
      </w:r>
    </w:p>
    <w:p w14:paraId="69C7B2FA" w14:textId="77777777" w:rsidR="003F2C59" w:rsidRPr="003F2C59" w:rsidRDefault="003F2C59" w:rsidP="00F05652">
      <w:pPr>
        <w:numPr>
          <w:ilvl w:val="0"/>
          <w:numId w:val="4"/>
        </w:numPr>
      </w:pPr>
      <w:r w:rsidRPr="003F2C59">
        <w:rPr>
          <w:rtl/>
        </w:rPr>
        <w:t>لا يتم فرض أي رسوم إضافية على ساعات أو أيام العمل الإضافية، ويتم احتسابها وفقًا للأساس التناسبي</w:t>
      </w:r>
      <w:r w:rsidRPr="003F2C59">
        <w:t>.</w:t>
      </w:r>
    </w:p>
    <w:p w14:paraId="2D2A011B" w14:textId="77777777" w:rsidR="003F2C59" w:rsidRPr="003F2C59" w:rsidRDefault="003F2C59" w:rsidP="00F05652">
      <w:pPr>
        <w:numPr>
          <w:ilvl w:val="0"/>
          <w:numId w:val="4"/>
        </w:numPr>
      </w:pPr>
      <w:r w:rsidRPr="003F2C59">
        <w:rPr>
          <w:rtl/>
        </w:rPr>
        <w:t>يجب تصديق العقد من الغرفة التجارية لضمان قانونية المعاملة</w:t>
      </w:r>
      <w:r w:rsidRPr="003F2C59">
        <w:t>.</w:t>
      </w:r>
    </w:p>
    <w:p w14:paraId="3F792BF2" w14:textId="77777777" w:rsidR="003F2C59" w:rsidRPr="003F2C59" w:rsidRDefault="003F2C59" w:rsidP="00F05652">
      <w:pPr>
        <w:numPr>
          <w:ilvl w:val="0"/>
          <w:numId w:val="4"/>
        </w:numPr>
      </w:pPr>
      <w:r w:rsidRPr="003F2C59">
        <w:rPr>
          <w:rtl/>
        </w:rPr>
        <w:t xml:space="preserve">يتحمل الطرف الثاني (المستأجر) </w:t>
      </w:r>
      <w:r w:rsidRPr="003F2C59">
        <w:rPr>
          <w:b/>
          <w:bCs/>
          <w:rtl/>
        </w:rPr>
        <w:t>كامل تكاليف السكن، الإعاشة، والديزل</w:t>
      </w:r>
      <w:r w:rsidRPr="003F2C59">
        <w:t>.</w:t>
      </w:r>
    </w:p>
    <w:p w14:paraId="2697B32A" w14:textId="77777777" w:rsidR="003F2C59" w:rsidRPr="003F2C59" w:rsidRDefault="003F2C59" w:rsidP="00F05652">
      <w:pPr>
        <w:numPr>
          <w:ilvl w:val="0"/>
          <w:numId w:val="4"/>
        </w:numPr>
      </w:pPr>
      <w:r w:rsidRPr="003F2C59">
        <w:rPr>
          <w:rtl/>
        </w:rPr>
        <w:t>في حال تنفيذ أي أعمال إضافية، يتم إصدار فاتورة منفصلة، ويتم سدادها فورًا دون تأجيل، وتعتبر مستحقة الدفع مثل الفاتورة الشهرية</w:t>
      </w:r>
      <w:r w:rsidRPr="003F2C59">
        <w:t>.</w:t>
      </w:r>
    </w:p>
    <w:p w14:paraId="24C11A57" w14:textId="77777777" w:rsidR="003F2C59" w:rsidRPr="003F2C59" w:rsidRDefault="003F2C59" w:rsidP="00F05652">
      <w:pPr>
        <w:rPr>
          <w:b/>
          <w:bCs/>
        </w:rPr>
      </w:pPr>
      <w:r w:rsidRPr="003F2C59">
        <w:rPr>
          <w:b/>
          <w:bCs/>
          <w:rtl/>
        </w:rPr>
        <w:lastRenderedPageBreak/>
        <w:t>المادة (4): الالتزامات الإدارية والتشغيلية</w:t>
      </w:r>
    </w:p>
    <w:p w14:paraId="1F1C4B68" w14:textId="77777777" w:rsidR="003F2C59" w:rsidRPr="003F2C59" w:rsidRDefault="003F2C59" w:rsidP="00F05652">
      <w:pPr>
        <w:numPr>
          <w:ilvl w:val="0"/>
          <w:numId w:val="5"/>
        </w:numPr>
      </w:pPr>
      <w:r w:rsidRPr="003F2C59">
        <w:rPr>
          <w:rtl/>
        </w:rPr>
        <w:t>يلتزم الطرف الثاني (المستأجر) بإصدار جميع التصاريح اللازمة لدخول السائقين والفنيين إلى موقع المشروع. وفي حال تعطل الكرين بسبب تأخر التصاريح، لا يحق للطرف الثاني خصم أي مبالغ من قيمة الإيجار</w:t>
      </w:r>
      <w:r w:rsidRPr="003F2C59">
        <w:t>.</w:t>
      </w:r>
    </w:p>
    <w:p w14:paraId="1B85996B" w14:textId="77777777" w:rsidR="003F2C59" w:rsidRPr="003F2C59" w:rsidRDefault="003F2C59" w:rsidP="00F05652">
      <w:pPr>
        <w:numPr>
          <w:ilvl w:val="0"/>
          <w:numId w:val="5"/>
        </w:numPr>
      </w:pPr>
      <w:r w:rsidRPr="003F2C59">
        <w:rPr>
          <w:rtl/>
        </w:rPr>
        <w:t>لا يحق للطرف الثاني (المستأجر) مطالبة الطرف الأول (المؤجر) بأي أعمال لا تتناسب مع طبيعة المعدة المستأجرة</w:t>
      </w:r>
      <w:r w:rsidRPr="003F2C59">
        <w:t>.</w:t>
      </w:r>
    </w:p>
    <w:p w14:paraId="6F5B6008" w14:textId="77777777" w:rsidR="003F2C59" w:rsidRPr="003F2C59" w:rsidRDefault="003F2C59" w:rsidP="00F05652">
      <w:pPr>
        <w:numPr>
          <w:ilvl w:val="0"/>
          <w:numId w:val="5"/>
        </w:numPr>
      </w:pPr>
      <w:r w:rsidRPr="003F2C59">
        <w:rPr>
          <w:rtl/>
        </w:rPr>
        <w:t xml:space="preserve">يتحمل الطرف الثاني (المستأجر) </w:t>
      </w:r>
      <w:r w:rsidRPr="003F2C59">
        <w:rPr>
          <w:b/>
          <w:bCs/>
          <w:rtl/>
        </w:rPr>
        <w:t>المسؤولية الكاملة</w:t>
      </w:r>
      <w:r w:rsidRPr="003F2C59">
        <w:rPr>
          <w:rtl/>
        </w:rPr>
        <w:t xml:space="preserve"> أمام الجهات الحكومية وغير الحكومية فيما يتعلق بتصاريح السلامة والعمل في الموقع</w:t>
      </w:r>
      <w:r w:rsidRPr="003F2C59">
        <w:t>.</w:t>
      </w:r>
    </w:p>
    <w:p w14:paraId="1F7FFBA9" w14:textId="77777777" w:rsidR="003F2C59" w:rsidRPr="003F2C59" w:rsidRDefault="003F2C59" w:rsidP="00F05652">
      <w:pPr>
        <w:numPr>
          <w:ilvl w:val="0"/>
          <w:numId w:val="5"/>
        </w:numPr>
      </w:pPr>
      <w:r w:rsidRPr="003F2C59">
        <w:rPr>
          <w:rtl/>
        </w:rPr>
        <w:t xml:space="preserve">يحق للطرف الأول (المؤجر) </w:t>
      </w:r>
      <w:r w:rsidRPr="003F2C59">
        <w:rPr>
          <w:b/>
          <w:bCs/>
          <w:rtl/>
        </w:rPr>
        <w:t>إيقاف العمل</w:t>
      </w:r>
      <w:r w:rsidRPr="003F2C59">
        <w:rPr>
          <w:rtl/>
        </w:rPr>
        <w:t xml:space="preserve"> في حال تأخر الطرف الثاني (المستأجر) عن سداد المستحقات، مع الاحتفاظ بحقه في </w:t>
      </w:r>
      <w:r w:rsidRPr="003F2C59">
        <w:rPr>
          <w:b/>
          <w:bCs/>
          <w:rtl/>
        </w:rPr>
        <w:t>المطالبة بجميع المبالغ المستحقة</w:t>
      </w:r>
      <w:r w:rsidRPr="003F2C59">
        <w:t>.</w:t>
      </w:r>
    </w:p>
    <w:p w14:paraId="0BE6337A" w14:textId="77777777" w:rsidR="003F2C59" w:rsidRPr="003F2C59" w:rsidRDefault="003F2C59" w:rsidP="00F05652">
      <w:pPr>
        <w:numPr>
          <w:ilvl w:val="0"/>
          <w:numId w:val="5"/>
        </w:numPr>
      </w:pPr>
      <w:r w:rsidRPr="003F2C59">
        <w:rPr>
          <w:rtl/>
        </w:rPr>
        <w:t>في حال توقف المعدة لأي سبب من قبل الطرف الأول (المؤجر)، يتم إصلاحها بسرعة، وتعويض الطرف الثاني بعدد ساعات التوقف الفعلية وفقًا لساعات التشغيل المعتادة</w:t>
      </w:r>
      <w:r w:rsidRPr="003F2C59">
        <w:t>.</w:t>
      </w:r>
    </w:p>
    <w:p w14:paraId="195181D3" w14:textId="77777777" w:rsidR="003F2C59" w:rsidRPr="003F2C59" w:rsidRDefault="003F2C59" w:rsidP="00F05652">
      <w:pPr>
        <w:numPr>
          <w:ilvl w:val="0"/>
          <w:numId w:val="5"/>
        </w:numPr>
      </w:pPr>
      <w:r w:rsidRPr="003F2C59">
        <w:rPr>
          <w:rtl/>
        </w:rPr>
        <w:t>في حال كان توقف العمل بسبب الطرف الثاني (المستأجر)، يتم احتساب ساعات التوقف ضمن الإيجار، إلا إذا استمر التوقف لمدة شهر كامل، حيث يحق للطرف الأول إيقاف التشغيل تمامًا</w:t>
      </w:r>
      <w:r w:rsidRPr="003F2C59">
        <w:t>.</w:t>
      </w:r>
    </w:p>
    <w:p w14:paraId="66EE3F76" w14:textId="77777777" w:rsidR="003F2C59" w:rsidRPr="003F2C59" w:rsidRDefault="003F2C59" w:rsidP="00F05652">
      <w:pPr>
        <w:numPr>
          <w:ilvl w:val="0"/>
          <w:numId w:val="5"/>
        </w:numPr>
      </w:pPr>
      <w:r w:rsidRPr="003F2C59">
        <w:rPr>
          <w:rtl/>
        </w:rPr>
        <w:t xml:space="preserve">يلتزم الطرف الثاني (المستأجر) بتوثيق ساعات العمل والتحضير يوميًا عبر </w:t>
      </w:r>
      <w:r w:rsidRPr="003F2C59">
        <w:rPr>
          <w:b/>
          <w:bCs/>
          <w:rtl/>
        </w:rPr>
        <w:t>التوقيع على سجل التشغيل اليومي</w:t>
      </w:r>
      <w:r w:rsidRPr="003F2C59">
        <w:rPr>
          <w:rtl/>
        </w:rPr>
        <w:t>، مع تسجيل أي ساعات إضافية إن وجدت</w:t>
      </w:r>
      <w:r w:rsidRPr="003F2C59">
        <w:t>.</w:t>
      </w:r>
    </w:p>
    <w:p w14:paraId="33B1974A" w14:textId="77777777" w:rsidR="003F2C59" w:rsidRDefault="003F2C59" w:rsidP="00F05652">
      <w:pPr>
        <w:rPr>
          <w:rtl/>
        </w:rPr>
      </w:pPr>
    </w:p>
    <w:p w14:paraId="172EFB8A" w14:textId="77777777" w:rsidR="003F2C59" w:rsidRDefault="003F2C59" w:rsidP="00F05652">
      <w:pPr>
        <w:rPr>
          <w:rtl/>
        </w:rPr>
      </w:pPr>
    </w:p>
    <w:p w14:paraId="66156F93" w14:textId="77777777" w:rsidR="003F2C59" w:rsidRPr="003F2C59" w:rsidRDefault="003F2C59" w:rsidP="00F05652">
      <w:r w:rsidRPr="003F2C59">
        <w:rPr>
          <w:b/>
          <w:bCs/>
        </w:rPr>
        <w:t xml:space="preserve">17- </w:t>
      </w:r>
      <w:r w:rsidRPr="003F2C59">
        <w:rPr>
          <w:b/>
          <w:bCs/>
          <w:rtl/>
        </w:rPr>
        <w:t>في حال نشوب خلاف بين الطرفين لا قدر الله فإنه يتم التقاضي بين الطرفين بمدينة الرياض</w:t>
      </w:r>
      <w:r w:rsidRPr="003F2C59">
        <w:rPr>
          <w:b/>
          <w:bCs/>
        </w:rPr>
        <w:t>.</w:t>
      </w:r>
    </w:p>
    <w:p w14:paraId="5F6650B6" w14:textId="77777777" w:rsidR="003F2C59" w:rsidRPr="003F2C59" w:rsidRDefault="003F2C59" w:rsidP="00F05652">
      <w:pPr>
        <w:rPr>
          <w:b/>
          <w:bCs/>
        </w:rPr>
      </w:pPr>
      <w:r w:rsidRPr="003F2C59">
        <w:rPr>
          <w:b/>
          <w:bCs/>
          <w:rtl/>
        </w:rPr>
        <w:t>المادة</w:t>
      </w:r>
      <w:r w:rsidRPr="003F2C59">
        <w:rPr>
          <w:b/>
          <w:bCs/>
        </w:rPr>
        <w:t xml:space="preserve"> (2):</w:t>
      </w:r>
    </w:p>
    <w:p w14:paraId="73334F0C" w14:textId="77777777" w:rsidR="003F2C59" w:rsidRPr="003F2C59" w:rsidRDefault="003F2C59" w:rsidP="00F05652">
      <w:r w:rsidRPr="003F2C59">
        <w:rPr>
          <w:rtl/>
        </w:rPr>
        <w:t xml:space="preserve">يجب على الطرف الأول تقديم </w:t>
      </w:r>
      <w:proofErr w:type="spellStart"/>
      <w:r w:rsidRPr="003F2C59">
        <w:rPr>
          <w:rtl/>
        </w:rPr>
        <w:t>مايلي</w:t>
      </w:r>
      <w:proofErr w:type="spellEnd"/>
      <w:r w:rsidRPr="003F2C59">
        <w:t>:</w:t>
      </w:r>
    </w:p>
    <w:p w14:paraId="126C8602" w14:textId="77777777" w:rsidR="003F2C59" w:rsidRPr="003F2C59" w:rsidRDefault="003F2C59" w:rsidP="00F05652">
      <w:pPr>
        <w:numPr>
          <w:ilvl w:val="0"/>
          <w:numId w:val="6"/>
        </w:numPr>
      </w:pPr>
      <w:r w:rsidRPr="003F2C59">
        <w:rPr>
          <w:rtl/>
        </w:rPr>
        <w:t>صيانة المعدات</w:t>
      </w:r>
      <w:r w:rsidRPr="003F2C59">
        <w:t>.</w:t>
      </w:r>
    </w:p>
    <w:p w14:paraId="685DBDEF" w14:textId="77777777" w:rsidR="003F2C59" w:rsidRPr="003F2C59" w:rsidRDefault="003F2C59" w:rsidP="00F05652">
      <w:pPr>
        <w:numPr>
          <w:ilvl w:val="0"/>
          <w:numId w:val="6"/>
        </w:numPr>
      </w:pPr>
      <w:r w:rsidRPr="003F2C59">
        <w:rPr>
          <w:rtl/>
        </w:rPr>
        <w:t>مشغل رافعة</w:t>
      </w:r>
      <w:r w:rsidRPr="003F2C59">
        <w:t>.</w:t>
      </w:r>
    </w:p>
    <w:p w14:paraId="6F4C7767" w14:textId="77777777" w:rsidR="003F2C59" w:rsidRPr="003F2C59" w:rsidRDefault="003F2C59" w:rsidP="00F05652">
      <w:pPr>
        <w:numPr>
          <w:ilvl w:val="0"/>
          <w:numId w:val="6"/>
        </w:numPr>
      </w:pPr>
      <w:r w:rsidRPr="003F2C59">
        <w:rPr>
          <w:rtl/>
        </w:rPr>
        <w:t>الأوراق المطلوبة للرافعة</w:t>
      </w:r>
      <w:r w:rsidRPr="003F2C59">
        <w:t>.</w:t>
      </w:r>
    </w:p>
    <w:p w14:paraId="638D94BD" w14:textId="77777777" w:rsidR="003F2C59" w:rsidRPr="003F2C59" w:rsidRDefault="003F2C59" w:rsidP="00F05652">
      <w:pPr>
        <w:rPr>
          <w:b/>
          <w:bCs/>
        </w:rPr>
      </w:pPr>
      <w:r w:rsidRPr="003F2C59">
        <w:rPr>
          <w:b/>
          <w:bCs/>
          <w:rtl/>
        </w:rPr>
        <w:t>المادة</w:t>
      </w:r>
      <w:r w:rsidRPr="003F2C59">
        <w:rPr>
          <w:b/>
          <w:bCs/>
        </w:rPr>
        <w:t xml:space="preserve"> (3):</w:t>
      </w:r>
    </w:p>
    <w:p w14:paraId="49900D45" w14:textId="77777777" w:rsidR="003F2C59" w:rsidRPr="003F2C59" w:rsidRDefault="003F2C59" w:rsidP="00F05652">
      <w:r w:rsidRPr="003F2C59">
        <w:rPr>
          <w:rtl/>
        </w:rPr>
        <w:t xml:space="preserve">يجب على الطرف الثاني تقديم </w:t>
      </w:r>
      <w:proofErr w:type="spellStart"/>
      <w:r w:rsidRPr="003F2C59">
        <w:rPr>
          <w:rtl/>
        </w:rPr>
        <w:t>مايلي</w:t>
      </w:r>
      <w:proofErr w:type="spellEnd"/>
      <w:r w:rsidRPr="003F2C59">
        <w:t>:</w:t>
      </w:r>
    </w:p>
    <w:p w14:paraId="3659FE83" w14:textId="77777777" w:rsidR="003F2C59" w:rsidRPr="003F2C59" w:rsidRDefault="003F2C59" w:rsidP="00F05652">
      <w:pPr>
        <w:numPr>
          <w:ilvl w:val="0"/>
          <w:numId w:val="7"/>
        </w:numPr>
      </w:pPr>
      <w:r w:rsidRPr="003F2C59">
        <w:rPr>
          <w:rtl/>
        </w:rPr>
        <w:t>أمر شراء صالح</w:t>
      </w:r>
      <w:r w:rsidRPr="003F2C59">
        <w:t>.</w:t>
      </w:r>
    </w:p>
    <w:p w14:paraId="3585B764" w14:textId="77777777" w:rsidR="003F2C59" w:rsidRPr="003F2C59" w:rsidRDefault="003F2C59" w:rsidP="00F05652">
      <w:pPr>
        <w:numPr>
          <w:ilvl w:val="0"/>
          <w:numId w:val="7"/>
        </w:numPr>
      </w:pPr>
      <w:r w:rsidRPr="003F2C59">
        <w:rPr>
          <w:rtl/>
        </w:rPr>
        <w:t>الديزل والرافعة</w:t>
      </w:r>
      <w:r w:rsidRPr="003F2C59">
        <w:t>.</w:t>
      </w:r>
    </w:p>
    <w:p w14:paraId="65D93BF6" w14:textId="77777777" w:rsidR="003F2C59" w:rsidRPr="003F2C59" w:rsidRDefault="003F2C59" w:rsidP="00F05652">
      <w:pPr>
        <w:numPr>
          <w:ilvl w:val="0"/>
          <w:numId w:val="7"/>
        </w:numPr>
      </w:pPr>
      <w:r w:rsidRPr="003F2C59">
        <w:rPr>
          <w:rtl/>
        </w:rPr>
        <w:t>الغذاء والإقامة للمشغلين</w:t>
      </w:r>
      <w:r w:rsidRPr="003F2C59">
        <w:t>.</w:t>
      </w:r>
    </w:p>
    <w:p w14:paraId="59DE34E4" w14:textId="77777777" w:rsidR="003F2C59" w:rsidRPr="003F2C59" w:rsidRDefault="003F2C59" w:rsidP="00F05652">
      <w:pPr>
        <w:rPr>
          <w:b/>
          <w:bCs/>
        </w:rPr>
      </w:pPr>
      <w:r w:rsidRPr="003F2C59">
        <w:rPr>
          <w:b/>
          <w:bCs/>
          <w:rtl/>
        </w:rPr>
        <w:t>المادة</w:t>
      </w:r>
      <w:r w:rsidRPr="003F2C59">
        <w:rPr>
          <w:b/>
          <w:bCs/>
        </w:rPr>
        <w:t xml:space="preserve"> (4):</w:t>
      </w:r>
    </w:p>
    <w:p w14:paraId="3C9FF794" w14:textId="77777777" w:rsidR="003F2C59" w:rsidRPr="003F2C59" w:rsidRDefault="003F2C59" w:rsidP="00F05652">
      <w:r w:rsidRPr="003F2C59">
        <w:rPr>
          <w:rtl/>
        </w:rPr>
        <w:t>الأسعار المذكورة أعلاه مبنية على أساس 10 ساعات في اليوم و26 يومًا في الشهر</w:t>
      </w:r>
      <w:r w:rsidRPr="003F2C59">
        <w:t>.</w:t>
      </w:r>
      <w:r w:rsidRPr="003F2C59">
        <w:br/>
      </w:r>
      <w:r w:rsidRPr="003F2C59">
        <w:rPr>
          <w:rtl/>
        </w:rPr>
        <w:t>وإثباتًا لما تقدم، قام الطرفان بتوقيعهما وختم الشركة على المواد المذكورة أعلاه بنسختين أصليتين من هذه الاتفاقية، واحتفظ كل طرف بنسخة أصلية منها</w:t>
      </w:r>
      <w:r w:rsidRPr="003F2C59">
        <w:t>.</w:t>
      </w:r>
    </w:p>
    <w:p w14:paraId="5FE9C00E" w14:textId="244BAF92" w:rsidR="003F2C59" w:rsidRPr="003F2C59" w:rsidRDefault="003F2C59" w:rsidP="00F05652">
      <w:r w:rsidRPr="003F2C59">
        <w:br/>
      </w:r>
    </w:p>
    <w:tbl>
      <w:tblPr>
        <w:tblStyle w:val="aa"/>
        <w:bidiVisual/>
        <w:tblW w:w="0" w:type="auto"/>
        <w:tblLook w:val="04A0" w:firstRow="1" w:lastRow="0" w:firstColumn="1" w:lastColumn="0" w:noHBand="0" w:noVBand="1"/>
      </w:tblPr>
      <w:tblGrid>
        <w:gridCol w:w="4148"/>
        <w:gridCol w:w="4148"/>
      </w:tblGrid>
      <w:tr w:rsidR="00F05652" w14:paraId="7D9639B3" w14:textId="77777777" w:rsidTr="00F05652">
        <w:tc>
          <w:tcPr>
            <w:tcW w:w="4148" w:type="dxa"/>
          </w:tcPr>
          <w:p w14:paraId="6F1F3AB5" w14:textId="149AA4D8" w:rsidR="00F05652" w:rsidRDefault="00F05652" w:rsidP="00F05652">
            <w:pPr>
              <w:jc w:val="center"/>
              <w:rPr>
                <w:rtl/>
              </w:rPr>
            </w:pPr>
            <w:r w:rsidRPr="003F2C59">
              <w:rPr>
                <w:b/>
                <w:bCs/>
                <w:rtl/>
              </w:rPr>
              <w:t>الطرف الأول</w:t>
            </w:r>
          </w:p>
        </w:tc>
        <w:tc>
          <w:tcPr>
            <w:tcW w:w="4148" w:type="dxa"/>
          </w:tcPr>
          <w:p w14:paraId="1C1C1D21" w14:textId="069B3275" w:rsidR="00F05652" w:rsidRDefault="00F05652" w:rsidP="00F05652">
            <w:pPr>
              <w:jc w:val="center"/>
              <w:rPr>
                <w:rtl/>
              </w:rPr>
            </w:pPr>
            <w:r w:rsidRPr="003F2C59">
              <w:rPr>
                <w:b/>
                <w:bCs/>
                <w:rtl/>
              </w:rPr>
              <w:t>الطرف الثاني</w:t>
            </w:r>
          </w:p>
        </w:tc>
      </w:tr>
      <w:tr w:rsidR="00F05652" w14:paraId="6D351A56" w14:textId="77777777" w:rsidTr="00F05652">
        <w:tc>
          <w:tcPr>
            <w:tcW w:w="4148" w:type="dxa"/>
          </w:tcPr>
          <w:p w14:paraId="07308982" w14:textId="77777777" w:rsidR="00F05652" w:rsidRDefault="00F05652" w:rsidP="00F05652">
            <w:pPr>
              <w:rPr>
                <w:rtl/>
              </w:rPr>
            </w:pPr>
          </w:p>
        </w:tc>
        <w:tc>
          <w:tcPr>
            <w:tcW w:w="4148" w:type="dxa"/>
          </w:tcPr>
          <w:p w14:paraId="6C17EEE8" w14:textId="77777777" w:rsidR="00F05652" w:rsidRDefault="00F05652" w:rsidP="00F05652">
            <w:pPr>
              <w:rPr>
                <w:rtl/>
              </w:rPr>
            </w:pPr>
          </w:p>
        </w:tc>
      </w:tr>
    </w:tbl>
    <w:p w14:paraId="14AE2D65" w14:textId="77777777" w:rsidR="003F2C59" w:rsidRPr="003F2C59" w:rsidRDefault="003F2C59" w:rsidP="00F05652"/>
    <w:sectPr w:rsidR="003F2C59" w:rsidRPr="003F2C59" w:rsidSect="00F05652">
      <w:pgSz w:w="11906" w:h="16838"/>
      <w:pgMar w:top="851"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66C74"/>
    <w:multiLevelType w:val="multilevel"/>
    <w:tmpl w:val="BF769D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316D49"/>
    <w:multiLevelType w:val="multilevel"/>
    <w:tmpl w:val="B66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E5D5B"/>
    <w:multiLevelType w:val="multilevel"/>
    <w:tmpl w:val="6742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B10FC"/>
    <w:multiLevelType w:val="multilevel"/>
    <w:tmpl w:val="6F00D5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71B7B"/>
    <w:multiLevelType w:val="multilevel"/>
    <w:tmpl w:val="F47CE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8656E"/>
    <w:multiLevelType w:val="multilevel"/>
    <w:tmpl w:val="D42E6F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2E1721"/>
    <w:multiLevelType w:val="multilevel"/>
    <w:tmpl w:val="F6083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807159">
    <w:abstractNumId w:val="4"/>
  </w:num>
  <w:num w:numId="2" w16cid:durableId="147943452">
    <w:abstractNumId w:val="3"/>
  </w:num>
  <w:num w:numId="3" w16cid:durableId="920988553">
    <w:abstractNumId w:val="6"/>
  </w:num>
  <w:num w:numId="4" w16cid:durableId="579020172">
    <w:abstractNumId w:val="5"/>
  </w:num>
  <w:num w:numId="5" w16cid:durableId="1048919004">
    <w:abstractNumId w:val="0"/>
  </w:num>
  <w:num w:numId="6" w16cid:durableId="58868165">
    <w:abstractNumId w:val="1"/>
  </w:num>
  <w:num w:numId="7" w16cid:durableId="26812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59"/>
    <w:rsid w:val="003F2C59"/>
    <w:rsid w:val="004E6C89"/>
    <w:rsid w:val="00730AB0"/>
    <w:rsid w:val="0099688E"/>
    <w:rsid w:val="00A4613A"/>
    <w:rsid w:val="00CD57B6"/>
    <w:rsid w:val="00F05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D563"/>
  <w15:chartTrackingRefBased/>
  <w15:docId w15:val="{C6CCB7BB-0D1F-44D5-933D-64888AD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F2C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F2C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F2C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F2C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F2C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F2C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2C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2C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2C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F2C5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F2C5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F2C5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F2C5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F2C59"/>
    <w:rPr>
      <w:rFonts w:eastAsiaTheme="majorEastAsia" w:cstheme="majorBidi"/>
      <w:color w:val="2F5496" w:themeColor="accent1" w:themeShade="BF"/>
    </w:rPr>
  </w:style>
  <w:style w:type="character" w:customStyle="1" w:styleId="6Char">
    <w:name w:val="عنوان 6 Char"/>
    <w:basedOn w:val="a0"/>
    <w:link w:val="6"/>
    <w:uiPriority w:val="9"/>
    <w:semiHidden/>
    <w:rsid w:val="003F2C59"/>
    <w:rPr>
      <w:rFonts w:eastAsiaTheme="majorEastAsia" w:cstheme="majorBidi"/>
      <w:i/>
      <w:iCs/>
      <w:color w:val="595959" w:themeColor="text1" w:themeTint="A6"/>
    </w:rPr>
  </w:style>
  <w:style w:type="character" w:customStyle="1" w:styleId="7Char">
    <w:name w:val="عنوان 7 Char"/>
    <w:basedOn w:val="a0"/>
    <w:link w:val="7"/>
    <w:uiPriority w:val="9"/>
    <w:semiHidden/>
    <w:rsid w:val="003F2C59"/>
    <w:rPr>
      <w:rFonts w:eastAsiaTheme="majorEastAsia" w:cstheme="majorBidi"/>
      <w:color w:val="595959" w:themeColor="text1" w:themeTint="A6"/>
    </w:rPr>
  </w:style>
  <w:style w:type="character" w:customStyle="1" w:styleId="8Char">
    <w:name w:val="عنوان 8 Char"/>
    <w:basedOn w:val="a0"/>
    <w:link w:val="8"/>
    <w:uiPriority w:val="9"/>
    <w:semiHidden/>
    <w:rsid w:val="003F2C59"/>
    <w:rPr>
      <w:rFonts w:eastAsiaTheme="majorEastAsia" w:cstheme="majorBidi"/>
      <w:i/>
      <w:iCs/>
      <w:color w:val="272727" w:themeColor="text1" w:themeTint="D8"/>
    </w:rPr>
  </w:style>
  <w:style w:type="character" w:customStyle="1" w:styleId="9Char">
    <w:name w:val="عنوان 9 Char"/>
    <w:basedOn w:val="a0"/>
    <w:link w:val="9"/>
    <w:uiPriority w:val="9"/>
    <w:semiHidden/>
    <w:rsid w:val="003F2C59"/>
    <w:rPr>
      <w:rFonts w:eastAsiaTheme="majorEastAsia" w:cstheme="majorBidi"/>
      <w:color w:val="272727" w:themeColor="text1" w:themeTint="D8"/>
    </w:rPr>
  </w:style>
  <w:style w:type="paragraph" w:styleId="a3">
    <w:name w:val="Title"/>
    <w:basedOn w:val="a"/>
    <w:next w:val="a"/>
    <w:link w:val="Char"/>
    <w:uiPriority w:val="10"/>
    <w:qFormat/>
    <w:rsid w:val="003F2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F2C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2C5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F2C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2C59"/>
    <w:pPr>
      <w:spacing w:before="160"/>
      <w:jc w:val="center"/>
    </w:pPr>
    <w:rPr>
      <w:i/>
      <w:iCs/>
      <w:color w:val="404040" w:themeColor="text1" w:themeTint="BF"/>
    </w:rPr>
  </w:style>
  <w:style w:type="character" w:customStyle="1" w:styleId="Char1">
    <w:name w:val="اقتباس Char"/>
    <w:basedOn w:val="a0"/>
    <w:link w:val="a5"/>
    <w:uiPriority w:val="29"/>
    <w:rsid w:val="003F2C59"/>
    <w:rPr>
      <w:i/>
      <w:iCs/>
      <w:color w:val="404040" w:themeColor="text1" w:themeTint="BF"/>
    </w:rPr>
  </w:style>
  <w:style w:type="paragraph" w:styleId="a6">
    <w:name w:val="List Paragraph"/>
    <w:basedOn w:val="a"/>
    <w:uiPriority w:val="34"/>
    <w:qFormat/>
    <w:rsid w:val="003F2C59"/>
    <w:pPr>
      <w:ind w:left="720"/>
      <w:contextualSpacing/>
    </w:pPr>
  </w:style>
  <w:style w:type="character" w:styleId="a7">
    <w:name w:val="Intense Emphasis"/>
    <w:basedOn w:val="a0"/>
    <w:uiPriority w:val="21"/>
    <w:qFormat/>
    <w:rsid w:val="003F2C59"/>
    <w:rPr>
      <w:i/>
      <w:iCs/>
      <w:color w:val="2F5496" w:themeColor="accent1" w:themeShade="BF"/>
    </w:rPr>
  </w:style>
  <w:style w:type="paragraph" w:styleId="a8">
    <w:name w:val="Intense Quote"/>
    <w:basedOn w:val="a"/>
    <w:next w:val="a"/>
    <w:link w:val="Char2"/>
    <w:uiPriority w:val="30"/>
    <w:qFormat/>
    <w:rsid w:val="003F2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F2C59"/>
    <w:rPr>
      <w:i/>
      <w:iCs/>
      <w:color w:val="2F5496" w:themeColor="accent1" w:themeShade="BF"/>
    </w:rPr>
  </w:style>
  <w:style w:type="character" w:styleId="a9">
    <w:name w:val="Intense Reference"/>
    <w:basedOn w:val="a0"/>
    <w:uiPriority w:val="32"/>
    <w:qFormat/>
    <w:rsid w:val="003F2C59"/>
    <w:rPr>
      <w:b/>
      <w:bCs/>
      <w:smallCaps/>
      <w:color w:val="2F5496" w:themeColor="accent1" w:themeShade="BF"/>
      <w:spacing w:val="5"/>
    </w:rPr>
  </w:style>
  <w:style w:type="table" w:styleId="aa">
    <w:name w:val="Table Grid"/>
    <w:basedOn w:val="a1"/>
    <w:uiPriority w:val="39"/>
    <w:rsid w:val="00F05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18889">
      <w:bodyDiv w:val="1"/>
      <w:marLeft w:val="0"/>
      <w:marRight w:val="0"/>
      <w:marTop w:val="0"/>
      <w:marBottom w:val="0"/>
      <w:divBdr>
        <w:top w:val="none" w:sz="0" w:space="0" w:color="auto"/>
        <w:left w:val="none" w:sz="0" w:space="0" w:color="auto"/>
        <w:bottom w:val="none" w:sz="0" w:space="0" w:color="auto"/>
        <w:right w:val="none" w:sz="0" w:space="0" w:color="auto"/>
      </w:divBdr>
    </w:div>
    <w:div w:id="649595444">
      <w:bodyDiv w:val="1"/>
      <w:marLeft w:val="0"/>
      <w:marRight w:val="0"/>
      <w:marTop w:val="0"/>
      <w:marBottom w:val="0"/>
      <w:divBdr>
        <w:top w:val="none" w:sz="0" w:space="0" w:color="auto"/>
        <w:left w:val="none" w:sz="0" w:space="0" w:color="auto"/>
        <w:bottom w:val="none" w:sz="0" w:space="0" w:color="auto"/>
        <w:right w:val="none" w:sz="0" w:space="0" w:color="auto"/>
      </w:divBdr>
    </w:div>
    <w:div w:id="1146701794">
      <w:bodyDiv w:val="1"/>
      <w:marLeft w:val="0"/>
      <w:marRight w:val="0"/>
      <w:marTop w:val="0"/>
      <w:marBottom w:val="0"/>
      <w:divBdr>
        <w:top w:val="none" w:sz="0" w:space="0" w:color="auto"/>
        <w:left w:val="none" w:sz="0" w:space="0" w:color="auto"/>
        <w:bottom w:val="none" w:sz="0" w:space="0" w:color="auto"/>
        <w:right w:val="none" w:sz="0" w:space="0" w:color="auto"/>
      </w:divBdr>
      <w:divsChild>
        <w:div w:id="1553538113">
          <w:marLeft w:val="0"/>
          <w:marRight w:val="0"/>
          <w:marTop w:val="0"/>
          <w:marBottom w:val="0"/>
          <w:divBdr>
            <w:top w:val="none" w:sz="0" w:space="0" w:color="auto"/>
            <w:left w:val="none" w:sz="0" w:space="0" w:color="auto"/>
            <w:bottom w:val="none" w:sz="0" w:space="0" w:color="auto"/>
            <w:right w:val="none" w:sz="0" w:space="0" w:color="auto"/>
          </w:divBdr>
        </w:div>
      </w:divsChild>
    </w:div>
    <w:div w:id="1654336899">
      <w:bodyDiv w:val="1"/>
      <w:marLeft w:val="0"/>
      <w:marRight w:val="0"/>
      <w:marTop w:val="0"/>
      <w:marBottom w:val="0"/>
      <w:divBdr>
        <w:top w:val="none" w:sz="0" w:space="0" w:color="auto"/>
        <w:left w:val="none" w:sz="0" w:space="0" w:color="auto"/>
        <w:bottom w:val="none" w:sz="0" w:space="0" w:color="auto"/>
        <w:right w:val="none" w:sz="0" w:space="0" w:color="auto"/>
      </w:divBdr>
      <w:divsChild>
        <w:div w:id="1685286117">
          <w:marLeft w:val="0"/>
          <w:marRight w:val="0"/>
          <w:marTop w:val="0"/>
          <w:marBottom w:val="0"/>
          <w:divBdr>
            <w:top w:val="none" w:sz="0" w:space="0" w:color="auto"/>
            <w:left w:val="none" w:sz="0" w:space="0" w:color="auto"/>
            <w:bottom w:val="none" w:sz="0" w:space="0" w:color="auto"/>
            <w:right w:val="none" w:sz="0" w:space="0" w:color="auto"/>
          </w:divBdr>
        </w:div>
      </w:divsChild>
    </w:div>
    <w:div w:id="1673338267">
      <w:bodyDiv w:val="1"/>
      <w:marLeft w:val="0"/>
      <w:marRight w:val="0"/>
      <w:marTop w:val="0"/>
      <w:marBottom w:val="0"/>
      <w:divBdr>
        <w:top w:val="none" w:sz="0" w:space="0" w:color="auto"/>
        <w:left w:val="none" w:sz="0" w:space="0" w:color="auto"/>
        <w:bottom w:val="none" w:sz="0" w:space="0" w:color="auto"/>
        <w:right w:val="none" w:sz="0" w:space="0" w:color="auto"/>
      </w:divBdr>
      <w:divsChild>
        <w:div w:id="1221097313">
          <w:marLeft w:val="0"/>
          <w:marRight w:val="0"/>
          <w:marTop w:val="0"/>
          <w:marBottom w:val="0"/>
          <w:divBdr>
            <w:top w:val="none" w:sz="0" w:space="0" w:color="auto"/>
            <w:left w:val="none" w:sz="0" w:space="0" w:color="auto"/>
            <w:bottom w:val="none" w:sz="0" w:space="0" w:color="auto"/>
            <w:right w:val="none" w:sz="0" w:space="0" w:color="auto"/>
          </w:divBdr>
          <w:divsChild>
            <w:div w:id="123087486">
              <w:marLeft w:val="0"/>
              <w:marRight w:val="0"/>
              <w:marTop w:val="0"/>
              <w:marBottom w:val="0"/>
              <w:divBdr>
                <w:top w:val="none" w:sz="0" w:space="0" w:color="auto"/>
                <w:left w:val="none" w:sz="0" w:space="0" w:color="auto"/>
                <w:bottom w:val="none" w:sz="0" w:space="0" w:color="auto"/>
                <w:right w:val="none" w:sz="0" w:space="0" w:color="auto"/>
              </w:divBdr>
              <w:divsChild>
                <w:div w:id="2040816490">
                  <w:marLeft w:val="0"/>
                  <w:marRight w:val="0"/>
                  <w:marTop w:val="0"/>
                  <w:marBottom w:val="0"/>
                  <w:divBdr>
                    <w:top w:val="none" w:sz="0" w:space="0" w:color="auto"/>
                    <w:left w:val="none" w:sz="0" w:space="0" w:color="auto"/>
                    <w:bottom w:val="none" w:sz="0" w:space="0" w:color="auto"/>
                    <w:right w:val="none" w:sz="0" w:space="0" w:color="auto"/>
                  </w:divBdr>
                  <w:divsChild>
                    <w:div w:id="18186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2450">
      <w:bodyDiv w:val="1"/>
      <w:marLeft w:val="0"/>
      <w:marRight w:val="0"/>
      <w:marTop w:val="0"/>
      <w:marBottom w:val="0"/>
      <w:divBdr>
        <w:top w:val="none" w:sz="0" w:space="0" w:color="auto"/>
        <w:left w:val="none" w:sz="0" w:space="0" w:color="auto"/>
        <w:bottom w:val="none" w:sz="0" w:space="0" w:color="auto"/>
        <w:right w:val="none" w:sz="0" w:space="0" w:color="auto"/>
      </w:divBdr>
      <w:divsChild>
        <w:div w:id="1021511177">
          <w:marLeft w:val="0"/>
          <w:marRight w:val="0"/>
          <w:marTop w:val="0"/>
          <w:marBottom w:val="0"/>
          <w:divBdr>
            <w:top w:val="none" w:sz="0" w:space="0" w:color="auto"/>
            <w:left w:val="none" w:sz="0" w:space="0" w:color="auto"/>
            <w:bottom w:val="none" w:sz="0" w:space="0" w:color="auto"/>
            <w:right w:val="none" w:sz="0" w:space="0" w:color="auto"/>
          </w:divBdr>
          <w:divsChild>
            <w:div w:id="95254331">
              <w:marLeft w:val="0"/>
              <w:marRight w:val="0"/>
              <w:marTop w:val="0"/>
              <w:marBottom w:val="0"/>
              <w:divBdr>
                <w:top w:val="none" w:sz="0" w:space="0" w:color="auto"/>
                <w:left w:val="none" w:sz="0" w:space="0" w:color="auto"/>
                <w:bottom w:val="none" w:sz="0" w:space="0" w:color="auto"/>
                <w:right w:val="none" w:sz="0" w:space="0" w:color="auto"/>
              </w:divBdr>
              <w:divsChild>
                <w:div w:id="1287545393">
                  <w:marLeft w:val="0"/>
                  <w:marRight w:val="0"/>
                  <w:marTop w:val="0"/>
                  <w:marBottom w:val="0"/>
                  <w:divBdr>
                    <w:top w:val="none" w:sz="0" w:space="0" w:color="auto"/>
                    <w:left w:val="none" w:sz="0" w:space="0" w:color="auto"/>
                    <w:bottom w:val="none" w:sz="0" w:space="0" w:color="auto"/>
                    <w:right w:val="none" w:sz="0" w:space="0" w:color="auto"/>
                  </w:divBdr>
                  <w:divsChild>
                    <w:div w:id="21395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Pages>
  <Words>561</Words>
  <Characters>3199</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altalhi</dc:creator>
  <cp:keywords/>
  <dc:description/>
  <cp:lastModifiedBy>khalid altalhi</cp:lastModifiedBy>
  <cp:revision>1</cp:revision>
  <dcterms:created xsi:type="dcterms:W3CDTF">2025-03-15T00:47:00Z</dcterms:created>
  <dcterms:modified xsi:type="dcterms:W3CDTF">2025-03-15T07:49:00Z</dcterms:modified>
</cp:coreProperties>
</file>